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numId w:val="0"/>
        </w:numPr>
        <w:ind w:leftChars="0"/>
        <w:jc w:val="left"/>
        <w:rPr>
          <w:rFonts w:hint="eastAsia" w:ascii="华文仿宋" w:hAnsi="华文仿宋" w:eastAsia="华文仿宋"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/>
          <w:b/>
          <w:sz w:val="36"/>
          <w:szCs w:val="36"/>
          <w:lang w:eastAsia="zh-CN"/>
        </w:rPr>
        <w:t>附件</w:t>
      </w:r>
      <w:r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  <w:t>4：赛程安排</w:t>
      </w:r>
    </w:p>
    <w:p>
      <w:pPr>
        <w:jc w:val="left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  <w:lang w:eastAsia="zh-CN"/>
        </w:rPr>
        <w:t>一、</w:t>
      </w:r>
      <w:bookmarkStart w:id="0" w:name="_GoBack"/>
      <w:bookmarkEnd w:id="0"/>
      <w:r>
        <w:rPr>
          <w:rFonts w:hint="eastAsia" w:ascii="华文仿宋" w:hAnsi="华文仿宋" w:eastAsia="华文仿宋"/>
          <w:sz w:val="36"/>
          <w:szCs w:val="36"/>
        </w:rPr>
        <w:t>时间安排：</w:t>
      </w:r>
    </w:p>
    <w:p>
      <w:pPr>
        <w:pStyle w:val="5"/>
        <w:ind w:left="720" w:firstLine="0" w:firstLineChars="0"/>
        <w:jc w:val="left"/>
        <w:rPr>
          <w:rFonts w:ascii="华文仿宋" w:hAnsi="华文仿宋" w:eastAsia="华文仿宋"/>
          <w:sz w:val="36"/>
          <w:szCs w:val="36"/>
        </w:rPr>
      </w:pPr>
    </w:p>
    <w:tbl>
      <w:tblPr>
        <w:tblStyle w:val="4"/>
        <w:tblW w:w="7802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3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915" w:type="dxa"/>
          </w:tcPr>
          <w:p>
            <w:pPr>
              <w:pStyle w:val="6"/>
              <w:spacing w:line="360" w:lineRule="auto"/>
              <w:ind w:firstLine="641"/>
              <w:jc w:val="center"/>
              <w:outlineLvl w:val="0"/>
              <w:rPr>
                <w:rFonts w:ascii="华文仿宋" w:hAnsi="华文仿宋" w:eastAsia="华文仿宋" w:cs="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b/>
                <w:sz w:val="32"/>
                <w:szCs w:val="32"/>
              </w:rPr>
              <w:t>原被告宣读起诉状/起诉书（答辩状/辩护意见）</w:t>
            </w:r>
          </w:p>
        </w:tc>
        <w:tc>
          <w:tcPr>
            <w:tcW w:w="3887" w:type="dxa"/>
          </w:tcPr>
          <w:p>
            <w:pPr>
              <w:pStyle w:val="6"/>
              <w:spacing w:line="960" w:lineRule="auto"/>
              <w:ind w:firstLine="641"/>
              <w:jc w:val="center"/>
              <w:outlineLvl w:val="0"/>
              <w:rPr>
                <w:rFonts w:ascii="华文仿宋" w:hAnsi="华文仿宋" w:eastAsia="华文仿宋" w:cs="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b/>
                <w:sz w:val="32"/>
                <w:szCs w:val="32"/>
              </w:rPr>
              <w:t>各5分钟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915" w:type="dxa"/>
          </w:tcPr>
          <w:p>
            <w:pPr>
              <w:pStyle w:val="6"/>
              <w:spacing w:line="360" w:lineRule="auto"/>
              <w:ind w:firstLine="641"/>
              <w:jc w:val="center"/>
              <w:outlineLvl w:val="0"/>
              <w:rPr>
                <w:rFonts w:ascii="华文仿宋" w:hAnsi="华文仿宋" w:eastAsia="华文仿宋" w:cs="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b/>
                <w:sz w:val="32"/>
                <w:szCs w:val="32"/>
              </w:rPr>
              <w:t>原告举证、被告质证</w:t>
            </w:r>
          </w:p>
        </w:tc>
        <w:tc>
          <w:tcPr>
            <w:tcW w:w="3887" w:type="dxa"/>
          </w:tcPr>
          <w:p>
            <w:pPr>
              <w:pStyle w:val="6"/>
              <w:spacing w:line="360" w:lineRule="auto"/>
              <w:ind w:firstLine="641"/>
              <w:jc w:val="center"/>
              <w:outlineLvl w:val="0"/>
              <w:rPr>
                <w:rFonts w:ascii="华文仿宋" w:hAnsi="华文仿宋" w:eastAsia="华文仿宋" w:cs="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b/>
                <w:sz w:val="32"/>
                <w:szCs w:val="32"/>
              </w:rPr>
              <w:t>各8分钟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915" w:type="dxa"/>
          </w:tcPr>
          <w:p>
            <w:pPr>
              <w:pStyle w:val="6"/>
              <w:spacing w:line="360" w:lineRule="auto"/>
              <w:ind w:firstLine="641"/>
              <w:jc w:val="center"/>
              <w:outlineLvl w:val="0"/>
              <w:rPr>
                <w:rFonts w:ascii="华文仿宋" w:hAnsi="华文仿宋" w:eastAsia="华文仿宋" w:cs="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b/>
                <w:sz w:val="32"/>
                <w:szCs w:val="32"/>
              </w:rPr>
              <w:t>被告举证、原告质证</w:t>
            </w:r>
          </w:p>
        </w:tc>
        <w:tc>
          <w:tcPr>
            <w:tcW w:w="3887" w:type="dxa"/>
          </w:tcPr>
          <w:p>
            <w:pPr>
              <w:pStyle w:val="6"/>
              <w:spacing w:line="360" w:lineRule="auto"/>
              <w:ind w:firstLine="641"/>
              <w:jc w:val="center"/>
              <w:outlineLvl w:val="0"/>
              <w:rPr>
                <w:rFonts w:ascii="华文仿宋" w:hAnsi="华文仿宋" w:eastAsia="华文仿宋" w:cs="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b/>
                <w:sz w:val="32"/>
                <w:szCs w:val="32"/>
              </w:rPr>
              <w:t>各8分钟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915" w:type="dxa"/>
          </w:tcPr>
          <w:p>
            <w:pPr>
              <w:pStyle w:val="6"/>
              <w:spacing w:line="360" w:lineRule="auto"/>
              <w:ind w:firstLine="641"/>
              <w:jc w:val="center"/>
              <w:outlineLvl w:val="0"/>
              <w:rPr>
                <w:rFonts w:ascii="华文仿宋" w:hAnsi="华文仿宋" w:eastAsia="华文仿宋" w:cs="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b/>
                <w:sz w:val="32"/>
                <w:szCs w:val="32"/>
              </w:rPr>
              <w:t>第一轮法庭辩论</w:t>
            </w:r>
          </w:p>
        </w:tc>
        <w:tc>
          <w:tcPr>
            <w:tcW w:w="3887" w:type="dxa"/>
          </w:tcPr>
          <w:p>
            <w:pPr>
              <w:pStyle w:val="6"/>
              <w:spacing w:line="360" w:lineRule="auto"/>
              <w:ind w:firstLine="641"/>
              <w:jc w:val="center"/>
              <w:outlineLvl w:val="0"/>
              <w:rPr>
                <w:rFonts w:ascii="华文仿宋" w:hAnsi="华文仿宋" w:eastAsia="华文仿宋" w:cs="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b/>
                <w:sz w:val="32"/>
                <w:szCs w:val="32"/>
              </w:rPr>
              <w:t>各5分钟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915" w:type="dxa"/>
          </w:tcPr>
          <w:p>
            <w:pPr>
              <w:pStyle w:val="6"/>
              <w:spacing w:line="360" w:lineRule="auto"/>
              <w:ind w:firstLine="641"/>
              <w:jc w:val="center"/>
              <w:outlineLvl w:val="0"/>
              <w:rPr>
                <w:rFonts w:ascii="华文仿宋" w:hAnsi="华文仿宋" w:eastAsia="华文仿宋" w:cs="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b/>
                <w:sz w:val="32"/>
                <w:szCs w:val="32"/>
              </w:rPr>
              <w:t>自由辩论</w:t>
            </w:r>
          </w:p>
        </w:tc>
        <w:tc>
          <w:tcPr>
            <w:tcW w:w="3887" w:type="dxa"/>
          </w:tcPr>
          <w:p>
            <w:pPr>
              <w:pStyle w:val="6"/>
              <w:spacing w:line="360" w:lineRule="auto"/>
              <w:ind w:firstLine="641"/>
              <w:jc w:val="center"/>
              <w:outlineLvl w:val="0"/>
              <w:rPr>
                <w:rFonts w:ascii="华文仿宋" w:hAnsi="华文仿宋" w:eastAsia="华文仿宋" w:cs="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b/>
                <w:sz w:val="32"/>
                <w:szCs w:val="32"/>
              </w:rPr>
              <w:t>各8分钟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915" w:type="dxa"/>
          </w:tcPr>
          <w:p>
            <w:pPr>
              <w:pStyle w:val="6"/>
              <w:spacing w:line="360" w:lineRule="auto"/>
              <w:ind w:firstLine="641"/>
              <w:jc w:val="center"/>
              <w:outlineLvl w:val="0"/>
              <w:rPr>
                <w:rFonts w:ascii="华文仿宋" w:hAnsi="华文仿宋" w:eastAsia="华文仿宋" w:cs="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b/>
                <w:sz w:val="32"/>
                <w:szCs w:val="32"/>
              </w:rPr>
              <w:t>双方最后陈诉</w:t>
            </w:r>
          </w:p>
        </w:tc>
        <w:tc>
          <w:tcPr>
            <w:tcW w:w="3887" w:type="dxa"/>
          </w:tcPr>
          <w:p>
            <w:pPr>
              <w:pStyle w:val="6"/>
              <w:spacing w:line="360" w:lineRule="auto"/>
              <w:ind w:firstLine="641"/>
              <w:jc w:val="center"/>
              <w:outlineLvl w:val="0"/>
              <w:rPr>
                <w:rFonts w:ascii="华文仿宋" w:hAnsi="华文仿宋" w:eastAsia="华文仿宋" w:cs="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b/>
                <w:sz w:val="32"/>
                <w:szCs w:val="32"/>
              </w:rPr>
              <w:t>各2分钟</w:t>
            </w:r>
          </w:p>
        </w:tc>
      </w:tr>
    </w:tbl>
    <w:p>
      <w:pPr>
        <w:pStyle w:val="5"/>
        <w:ind w:left="720" w:firstLine="0" w:firstLineChars="0"/>
        <w:jc w:val="left"/>
        <w:rPr>
          <w:rFonts w:ascii="华文仿宋" w:hAnsi="华文仿宋" w:eastAsia="华文仿宋"/>
          <w:sz w:val="36"/>
          <w:szCs w:val="36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ascii="华文仿宋" w:hAnsi="华文仿宋" w:eastAsia="华文仿宋" w:cs="仿宋"/>
          <w:kern w:val="0"/>
          <w:sz w:val="32"/>
          <w:szCs w:val="32"/>
        </w:rPr>
      </w:pPr>
      <w:r>
        <w:rPr>
          <w:rFonts w:hint="eastAsia" w:ascii="华文仿宋" w:hAnsi="华文仿宋" w:eastAsia="华文仿宋" w:cs="仿宋"/>
          <w:kern w:val="0"/>
          <w:sz w:val="32"/>
          <w:szCs w:val="32"/>
        </w:rPr>
        <w:t>该阶段按照如下程序进行：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="0" w:firstLine="640"/>
        <w:outlineLvl w:val="0"/>
        <w:rPr>
          <w:rFonts w:ascii="华文仿宋" w:hAnsi="华文仿宋" w:eastAsia="华文仿宋" w:cs="仿宋"/>
          <w:kern w:val="0"/>
          <w:sz w:val="32"/>
          <w:szCs w:val="32"/>
        </w:rPr>
      </w:pPr>
      <w:r>
        <w:rPr>
          <w:rFonts w:hint="eastAsia" w:ascii="华文仿宋" w:hAnsi="华文仿宋" w:eastAsia="华文仿宋" w:cs="仿宋"/>
          <w:kern w:val="0"/>
          <w:sz w:val="32"/>
          <w:szCs w:val="32"/>
        </w:rPr>
        <w:t>合议庭入席，开庭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="0" w:firstLine="640"/>
        <w:outlineLvl w:val="0"/>
        <w:rPr>
          <w:rFonts w:ascii="华文仿宋" w:hAnsi="华文仿宋" w:eastAsia="华文仿宋" w:cs="仿宋"/>
          <w:kern w:val="0"/>
          <w:sz w:val="32"/>
          <w:szCs w:val="32"/>
        </w:rPr>
      </w:pPr>
      <w:r>
        <w:rPr>
          <w:rFonts w:hint="eastAsia" w:ascii="华文仿宋" w:hAnsi="华文仿宋" w:eastAsia="华文仿宋" w:cs="仿宋"/>
          <w:kern w:val="0"/>
          <w:sz w:val="32"/>
          <w:szCs w:val="32"/>
        </w:rPr>
        <w:t>法庭调查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1280" w:firstLineChars="400"/>
        <w:jc w:val="left"/>
        <w:outlineLvl w:val="0"/>
        <w:rPr>
          <w:rFonts w:ascii="华文仿宋" w:hAnsi="华文仿宋" w:eastAsia="华文仿宋" w:cs="仿宋"/>
          <w:kern w:val="0"/>
          <w:sz w:val="32"/>
          <w:szCs w:val="32"/>
        </w:rPr>
      </w:pPr>
      <w:r>
        <w:rPr>
          <w:rFonts w:hint="eastAsia" w:ascii="华文仿宋" w:hAnsi="华文仿宋" w:eastAsia="华文仿宋" w:cs="仿宋"/>
          <w:kern w:val="0"/>
          <w:sz w:val="32"/>
          <w:szCs w:val="32"/>
        </w:rPr>
        <w:t>由原告陈述诉讼请求、事实和理由。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1280" w:firstLineChars="400"/>
        <w:jc w:val="left"/>
        <w:outlineLvl w:val="0"/>
        <w:rPr>
          <w:rFonts w:ascii="华文仿宋" w:hAnsi="华文仿宋" w:eastAsia="华文仿宋" w:cs="仿宋"/>
          <w:kern w:val="0"/>
          <w:sz w:val="32"/>
          <w:szCs w:val="32"/>
        </w:rPr>
      </w:pPr>
      <w:r>
        <w:rPr>
          <w:rFonts w:hint="eastAsia" w:ascii="华文仿宋" w:hAnsi="华文仿宋" w:eastAsia="华文仿宋" w:cs="仿宋"/>
          <w:kern w:val="0"/>
          <w:sz w:val="32"/>
          <w:szCs w:val="32"/>
        </w:rPr>
        <w:t>（原告陈述完毕后）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1280" w:firstLineChars="400"/>
        <w:jc w:val="left"/>
        <w:outlineLvl w:val="0"/>
        <w:rPr>
          <w:rFonts w:ascii="华文仿宋" w:hAnsi="华文仿宋" w:eastAsia="华文仿宋" w:cs="仿宋"/>
          <w:kern w:val="0"/>
          <w:sz w:val="32"/>
          <w:szCs w:val="32"/>
        </w:rPr>
      </w:pPr>
      <w:r>
        <w:rPr>
          <w:rFonts w:hint="eastAsia" w:ascii="华文仿宋" w:hAnsi="华文仿宋" w:eastAsia="华文仿宋" w:cs="仿宋"/>
          <w:kern w:val="0"/>
          <w:sz w:val="32"/>
          <w:szCs w:val="32"/>
        </w:rPr>
        <w:t>被告进行答辩。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1280" w:firstLineChars="400"/>
        <w:jc w:val="left"/>
        <w:outlineLvl w:val="0"/>
        <w:rPr>
          <w:rFonts w:ascii="华文仿宋" w:hAnsi="华文仿宋" w:eastAsia="华文仿宋" w:cs="仿宋"/>
          <w:kern w:val="0"/>
          <w:sz w:val="32"/>
          <w:szCs w:val="32"/>
        </w:rPr>
      </w:pPr>
      <w:r>
        <w:rPr>
          <w:rFonts w:hint="eastAsia" w:ascii="华文仿宋" w:hAnsi="华文仿宋" w:eastAsia="华文仿宋" w:cs="仿宋"/>
          <w:kern w:val="0"/>
          <w:sz w:val="32"/>
          <w:szCs w:val="32"/>
        </w:rPr>
        <w:t>（被告答辩完毕后）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1280" w:firstLineChars="400"/>
        <w:jc w:val="left"/>
        <w:outlineLvl w:val="0"/>
        <w:rPr>
          <w:rFonts w:ascii="华文仿宋" w:hAnsi="华文仿宋" w:eastAsia="华文仿宋" w:cs="仿宋"/>
          <w:kern w:val="0"/>
          <w:sz w:val="32"/>
          <w:szCs w:val="32"/>
        </w:rPr>
      </w:pPr>
      <w:r>
        <w:rPr>
          <w:rFonts w:hint="eastAsia" w:ascii="华文仿宋" w:hAnsi="华文仿宋" w:eastAsia="华文仿宋" w:cs="仿宋"/>
          <w:kern w:val="0"/>
          <w:sz w:val="32"/>
          <w:szCs w:val="32"/>
        </w:rPr>
        <w:t>原告举证、被告质证。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1280" w:firstLineChars="400"/>
        <w:jc w:val="left"/>
        <w:outlineLvl w:val="0"/>
        <w:rPr>
          <w:rFonts w:ascii="华文仿宋" w:hAnsi="华文仿宋" w:eastAsia="华文仿宋" w:cs="仿宋"/>
          <w:kern w:val="0"/>
          <w:sz w:val="32"/>
          <w:szCs w:val="32"/>
        </w:rPr>
      </w:pPr>
      <w:r>
        <w:rPr>
          <w:rFonts w:hint="eastAsia" w:ascii="华文仿宋" w:hAnsi="华文仿宋" w:eastAsia="华文仿宋" w:cs="仿宋"/>
          <w:kern w:val="0"/>
          <w:sz w:val="32"/>
          <w:szCs w:val="32"/>
        </w:rPr>
        <w:t>（原告举证完毕后）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1280" w:firstLineChars="400"/>
        <w:jc w:val="left"/>
        <w:outlineLvl w:val="0"/>
        <w:rPr>
          <w:rFonts w:ascii="华文仿宋" w:hAnsi="华文仿宋" w:eastAsia="华文仿宋" w:cs="仿宋"/>
          <w:kern w:val="0"/>
          <w:sz w:val="32"/>
          <w:szCs w:val="32"/>
        </w:rPr>
      </w:pPr>
      <w:r>
        <w:rPr>
          <w:rFonts w:hint="eastAsia" w:ascii="华文仿宋" w:hAnsi="华文仿宋" w:eastAsia="华文仿宋" w:cs="仿宋"/>
          <w:kern w:val="0"/>
          <w:sz w:val="32"/>
          <w:szCs w:val="32"/>
        </w:rPr>
        <w:t>被告举证、原告质证。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1280" w:firstLineChars="400"/>
        <w:jc w:val="left"/>
        <w:outlineLvl w:val="0"/>
        <w:rPr>
          <w:rFonts w:ascii="华文仿宋" w:hAnsi="华文仿宋" w:eastAsia="华文仿宋" w:cs="仿宋"/>
          <w:kern w:val="0"/>
          <w:sz w:val="32"/>
          <w:szCs w:val="32"/>
        </w:rPr>
      </w:pPr>
      <w:r>
        <w:rPr>
          <w:rFonts w:hint="eastAsia" w:ascii="华文仿宋" w:hAnsi="华文仿宋" w:eastAsia="华文仿宋" w:cs="仿宋"/>
          <w:kern w:val="0"/>
          <w:sz w:val="32"/>
          <w:szCs w:val="32"/>
        </w:rPr>
        <w:t>（法庭调查结束）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1280" w:firstLineChars="400"/>
        <w:jc w:val="left"/>
        <w:outlineLvl w:val="0"/>
        <w:rPr>
          <w:rFonts w:ascii="华文仿宋" w:hAnsi="华文仿宋" w:eastAsia="华文仿宋" w:cs="仿宋"/>
          <w:color w:val="FF0000"/>
          <w:kern w:val="0"/>
          <w:sz w:val="32"/>
          <w:szCs w:val="32"/>
        </w:rPr>
      </w:pPr>
      <w:r>
        <w:rPr>
          <w:rFonts w:hint="eastAsia" w:ascii="华文仿宋" w:hAnsi="华文仿宋" w:eastAsia="华文仿宋" w:cs="仿宋"/>
          <w:color w:val="FF0000"/>
          <w:kern w:val="0"/>
          <w:sz w:val="32"/>
          <w:szCs w:val="32"/>
        </w:rPr>
        <w:t>该阶段可按组举证、质证，也可一次举证、质证。</w:t>
      </w:r>
    </w:p>
    <w:p>
      <w:pPr>
        <w:pStyle w:val="6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left="0" w:firstLine="640"/>
        <w:jc w:val="left"/>
        <w:outlineLvl w:val="0"/>
        <w:rPr>
          <w:rFonts w:ascii="华文仿宋" w:hAnsi="华文仿宋" w:eastAsia="华文仿宋" w:cs="仿宋"/>
          <w:kern w:val="0"/>
          <w:sz w:val="32"/>
          <w:szCs w:val="32"/>
        </w:rPr>
      </w:pPr>
      <w:r>
        <w:rPr>
          <w:rFonts w:hint="eastAsia" w:ascii="华文仿宋" w:hAnsi="华文仿宋" w:eastAsia="华文仿宋" w:cs="仿宋"/>
          <w:kern w:val="0"/>
          <w:sz w:val="32"/>
          <w:szCs w:val="32"/>
        </w:rPr>
        <w:t>法庭辩论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1280" w:firstLineChars="400"/>
        <w:jc w:val="left"/>
        <w:outlineLvl w:val="0"/>
        <w:rPr>
          <w:rFonts w:ascii="华文仿宋" w:hAnsi="华文仿宋" w:eastAsia="华文仿宋" w:cs="仿宋"/>
          <w:kern w:val="0"/>
          <w:sz w:val="32"/>
          <w:szCs w:val="32"/>
        </w:rPr>
      </w:pPr>
      <w:r>
        <w:rPr>
          <w:rFonts w:hint="eastAsia" w:ascii="华文仿宋" w:hAnsi="华文仿宋" w:eastAsia="华文仿宋" w:cs="仿宋"/>
          <w:kern w:val="0"/>
          <w:sz w:val="32"/>
          <w:szCs w:val="32"/>
        </w:rPr>
        <w:t>原告发表辩论意见。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1280" w:firstLineChars="400"/>
        <w:jc w:val="left"/>
        <w:outlineLvl w:val="0"/>
        <w:rPr>
          <w:rFonts w:ascii="华文仿宋" w:hAnsi="华文仿宋" w:eastAsia="华文仿宋" w:cs="仿宋"/>
          <w:kern w:val="0"/>
          <w:sz w:val="32"/>
          <w:szCs w:val="32"/>
        </w:rPr>
      </w:pPr>
      <w:r>
        <w:rPr>
          <w:rFonts w:hint="eastAsia" w:ascii="华文仿宋" w:hAnsi="华文仿宋" w:eastAsia="华文仿宋" w:cs="仿宋"/>
          <w:kern w:val="0"/>
          <w:sz w:val="32"/>
          <w:szCs w:val="32"/>
        </w:rPr>
        <w:t>被告发表辩论意见。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1280" w:firstLineChars="400"/>
        <w:jc w:val="left"/>
        <w:outlineLvl w:val="0"/>
        <w:rPr>
          <w:rFonts w:ascii="华文仿宋" w:hAnsi="华文仿宋" w:eastAsia="华文仿宋" w:cs="仿宋"/>
          <w:kern w:val="0"/>
          <w:sz w:val="32"/>
          <w:szCs w:val="32"/>
        </w:rPr>
      </w:pPr>
      <w:r>
        <w:rPr>
          <w:rFonts w:hint="eastAsia" w:ascii="华文仿宋" w:hAnsi="华文仿宋" w:eastAsia="华文仿宋" w:cs="仿宋"/>
          <w:kern w:val="0"/>
          <w:sz w:val="32"/>
          <w:szCs w:val="32"/>
        </w:rPr>
        <w:t>双方自由辩论。轮流发言，先由原告发表辩论意见，再由被告发表辩论意见。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1280" w:firstLineChars="400"/>
        <w:jc w:val="left"/>
        <w:outlineLvl w:val="0"/>
        <w:rPr>
          <w:rFonts w:ascii="华文仿宋" w:hAnsi="华文仿宋" w:eastAsia="华文仿宋" w:cs="仿宋"/>
          <w:kern w:val="0"/>
          <w:sz w:val="32"/>
          <w:szCs w:val="32"/>
        </w:rPr>
      </w:pPr>
      <w:r>
        <w:rPr>
          <w:rFonts w:hint="eastAsia" w:ascii="华文仿宋" w:hAnsi="华文仿宋" w:eastAsia="华文仿宋" w:cs="仿宋"/>
          <w:kern w:val="0"/>
          <w:sz w:val="32"/>
          <w:szCs w:val="32"/>
        </w:rPr>
        <w:t>（法庭辩论结束）</w:t>
      </w:r>
    </w:p>
    <w:p>
      <w:pPr>
        <w:pStyle w:val="6"/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left="0" w:firstLine="640"/>
        <w:jc w:val="left"/>
        <w:outlineLvl w:val="0"/>
        <w:rPr>
          <w:rFonts w:ascii="华文仿宋" w:hAnsi="华文仿宋" w:eastAsia="华文仿宋" w:cs="仿宋"/>
          <w:kern w:val="0"/>
          <w:sz w:val="32"/>
          <w:szCs w:val="32"/>
        </w:rPr>
      </w:pPr>
      <w:r>
        <w:rPr>
          <w:rFonts w:hint="eastAsia" w:ascii="华文仿宋" w:hAnsi="华文仿宋" w:eastAsia="华文仿宋" w:cs="仿宋"/>
          <w:kern w:val="0"/>
          <w:sz w:val="32"/>
          <w:szCs w:val="32"/>
        </w:rPr>
        <w:t>最后陈述</w:t>
      </w:r>
    </w:p>
    <w:p>
      <w:pPr>
        <w:jc w:val="left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（2）、时间限制与逾时处理：</w:t>
      </w:r>
    </w:p>
    <w:p>
      <w:pPr>
        <w:widowControl/>
        <w:adjustRightInd w:val="0"/>
        <w:snapToGrid w:val="0"/>
        <w:spacing w:line="360" w:lineRule="auto"/>
        <w:ind w:firstLine="720" w:firstLineChars="200"/>
        <w:jc w:val="left"/>
        <w:outlineLvl w:val="0"/>
        <w:rPr>
          <w:rFonts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/>
          <w:sz w:val="36"/>
          <w:szCs w:val="36"/>
        </w:rPr>
        <w:tab/>
      </w:r>
      <w:r>
        <w:rPr>
          <w:rFonts w:hint="eastAsia" w:ascii="华文仿宋" w:hAnsi="华文仿宋" w:eastAsia="华文仿宋" w:cs="仿宋"/>
          <w:sz w:val="32"/>
          <w:szCs w:val="32"/>
        </w:rPr>
        <w:t>言词辩论的各部分应于限定时间内完成。若时间限制已至而评审正在发言，待评审发言结束后立刻终止该程序，进入下一阶段；若系参赛队员正在发言，审判庭应强制其停止发言，并进入下一阶段。各部分程序的时间限制，若得评审允许，可以延长，但以一次不超过三分钟为限，同时应当注意一视同仁、公平对待。延时不得超过两次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sz w:val="32"/>
          <w:szCs w:val="32"/>
        </w:rPr>
        <w:t>注：时间的具体掌控由审判长决定。</w:t>
      </w:r>
    </w:p>
    <w:p>
      <w:pPr>
        <w:jc w:val="left"/>
        <w:rPr>
          <w:rFonts w:ascii="华文仿宋" w:hAnsi="华文仿宋" w:eastAsia="华文仿宋"/>
          <w:sz w:val="36"/>
          <w:szCs w:val="36"/>
        </w:rPr>
      </w:pPr>
    </w:p>
    <w:p>
      <w:pPr>
        <w:jc w:val="left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sz w:val="36"/>
          <w:szCs w:val="36"/>
        </w:rPr>
        <w:t>（3）、申诉程序</w:t>
      </w:r>
    </w:p>
    <w:p>
      <w:pPr>
        <w:widowControl/>
        <w:adjustRightInd w:val="0"/>
        <w:snapToGrid w:val="0"/>
        <w:spacing w:line="360" w:lineRule="auto"/>
        <w:ind w:firstLine="720" w:firstLineChars="20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华文仿宋" w:hAnsi="华文仿宋" w:eastAsia="华文仿宋"/>
          <w:sz w:val="36"/>
          <w:szCs w:val="36"/>
        </w:rPr>
        <w:tab/>
      </w:r>
      <w:r>
        <w:rPr>
          <w:rFonts w:hint="eastAsia" w:ascii="仿宋" w:hAnsi="仿宋" w:eastAsia="仿宋" w:cs="仿宋"/>
          <w:sz w:val="32"/>
          <w:szCs w:val="32"/>
        </w:rPr>
        <w:t>对于所受处罚有所不服者，得以书面方式记载不服的理由，送交承办方。若承办方认为申诉有理由，得撤销处罚；若认为申诉无理由，则将该申诉驳回并告知申诉队伍驳回理由。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对于承办方的驳回不得再次提出申诉。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5633"/>
    <w:multiLevelType w:val="multilevel"/>
    <w:tmpl w:val="35065633"/>
    <w:lvl w:ilvl="0" w:tentative="0">
      <w:start w:val="1"/>
      <w:numFmt w:val="bullet"/>
      <w:lvlText w:val=""/>
      <w:lvlJc w:val="left"/>
      <w:pPr>
        <w:ind w:left="14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8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2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5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60" w:hanging="420"/>
      </w:pPr>
      <w:rPr>
        <w:rFonts w:hint="default" w:ascii="Wingdings" w:hAnsi="Wingdings"/>
      </w:rPr>
    </w:lvl>
  </w:abstractNum>
  <w:abstractNum w:abstractNumId="1">
    <w:nsid w:val="3998400D"/>
    <w:multiLevelType w:val="multilevel"/>
    <w:tmpl w:val="3998400D"/>
    <w:lvl w:ilvl="0" w:tentative="0">
      <w:start w:val="1"/>
      <w:numFmt w:val="bullet"/>
      <w:lvlText w:val=""/>
      <w:lvlJc w:val="left"/>
      <w:pPr>
        <w:ind w:left="1271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9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1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3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5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7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9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1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31" w:hanging="420"/>
      </w:pPr>
      <w:rPr>
        <w:rFonts w:hint="default" w:ascii="Wingdings" w:hAnsi="Wingdings"/>
      </w:rPr>
    </w:lvl>
  </w:abstractNum>
  <w:abstractNum w:abstractNumId="2">
    <w:nsid w:val="57790798"/>
    <w:multiLevelType w:val="multilevel"/>
    <w:tmpl w:val="57790798"/>
    <w:lvl w:ilvl="0" w:tentative="0">
      <w:start w:val="1"/>
      <w:numFmt w:val="bullet"/>
      <w:lvlText w:val=""/>
      <w:lvlJc w:val="left"/>
      <w:pPr>
        <w:ind w:left="138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80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22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4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6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8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0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49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B4AE7"/>
    <w:rsid w:val="081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列出段落1"/>
    <w:basedOn w:val="1"/>
    <w:unhideWhenUsed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2019-03-28T03:58:00Z</dcterms:created>
  <dc:creator>杨洪（后备）</dc:creator>
  <cp:lastModifiedBy>杨洪（后备）</cp:lastModifiedBy>
  <dcterms:modified xsi:type="dcterms:W3CDTF">2019-03-28T04:00:07Z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